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F9" w:rsidRDefault="008445F9" w:rsidP="008445F9">
      <w:pPr>
        <w:widowControl w:val="0"/>
        <w:spacing w:line="264" w:lineRule="auto"/>
        <w:ind w:left="369" w:right="2586" w:hanging="369"/>
        <w:rPr>
          <w:lang w:val="de-DE"/>
        </w:rPr>
      </w:pPr>
      <w:r w:rsidRPr="008445F9">
        <w:rPr>
          <w:lang w:val="de-DE"/>
        </w:rPr>
        <w:t xml:space="preserve">Bitte kreuzen </w:t>
      </w:r>
      <w:r>
        <w:rPr>
          <w:lang w:val="de-DE"/>
        </w:rPr>
        <w:t xml:space="preserve">(x) </w:t>
      </w:r>
      <w:r w:rsidRPr="008445F9">
        <w:rPr>
          <w:lang w:val="de-DE"/>
        </w:rPr>
        <w:t>Sie die auf Ihre P</w:t>
      </w:r>
      <w:r>
        <w:rPr>
          <w:lang w:val="de-DE"/>
        </w:rPr>
        <w:t xml:space="preserve">artei zutreffende Bewertung der </w:t>
      </w:r>
      <w:r w:rsidRPr="008445F9">
        <w:rPr>
          <w:lang w:val="de-DE"/>
        </w:rPr>
        <w:t xml:space="preserve">Aussage an. </w:t>
      </w:r>
      <w:r>
        <w:rPr>
          <w:lang w:val="de-DE"/>
        </w:rPr>
        <w:t xml:space="preserve">Bei Bedarf steht Ihnen die Spalte „Anmerkung“ für Bemerkungen zur Verfügung. Am Ende des Bogens finden sich zwei Freitextfelder. </w:t>
      </w:r>
    </w:p>
    <w:p w:rsidR="008445F9" w:rsidRPr="008445F9" w:rsidRDefault="008445F9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09"/>
        <w:gridCol w:w="1521"/>
        <w:gridCol w:w="1337"/>
        <w:gridCol w:w="1481"/>
        <w:gridCol w:w="2117"/>
      </w:tblGrid>
      <w:tr w:rsidR="008445F9" w:rsidTr="008445F9">
        <w:tc>
          <w:tcPr>
            <w:tcW w:w="2632" w:type="dxa"/>
          </w:tcPr>
          <w:p w:rsidR="008445F9" w:rsidRPr="004B7CA5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b/>
                <w:sz w:val="22"/>
                <w:lang w:val="de-DE"/>
              </w:rPr>
              <w:t>These</w:t>
            </w:r>
          </w:p>
        </w:tc>
        <w:tc>
          <w:tcPr>
            <w:tcW w:w="1722" w:type="dxa"/>
          </w:tcPr>
          <w:p w:rsidR="008445F9" w:rsidRPr="004B7CA5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b/>
                <w:sz w:val="22"/>
                <w:lang w:val="de-DE"/>
              </w:rPr>
              <w:t>Wir stimmen der Aussage der These zu.</w:t>
            </w:r>
          </w:p>
        </w:tc>
        <w:tc>
          <w:tcPr>
            <w:tcW w:w="1372" w:type="dxa"/>
          </w:tcPr>
          <w:p w:rsidR="008445F9" w:rsidRPr="004B7CA5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2"/>
                <w:lang w:val="de-DE"/>
              </w:rPr>
              <w:t>Wir stehen der Aussage neutral gegenüber.</w:t>
            </w:r>
          </w:p>
        </w:tc>
        <w:tc>
          <w:tcPr>
            <w:tcW w:w="1687" w:type="dxa"/>
          </w:tcPr>
          <w:p w:rsidR="008445F9" w:rsidRPr="004B7CA5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b/>
                <w:sz w:val="22"/>
                <w:lang w:val="de-DE"/>
              </w:rPr>
              <w:t>Wir lehnen die Aussage der These ab.</w:t>
            </w:r>
          </w:p>
        </w:tc>
        <w:tc>
          <w:tcPr>
            <w:tcW w:w="165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2"/>
                <w:lang w:val="de-DE"/>
              </w:rPr>
              <w:t xml:space="preserve">Anmerkung </w:t>
            </w:r>
          </w:p>
          <w:p w:rsidR="008445F9" w:rsidRPr="004B7CA5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2"/>
                <w:lang w:val="de-DE"/>
              </w:rPr>
              <w:t>(max. 280 Zeichen)</w:t>
            </w:r>
          </w:p>
        </w:tc>
      </w:tr>
      <w:tr w:rsidR="008445F9" w:rsidRPr="00072D3B" w:rsidTr="008445F9">
        <w:tc>
          <w:tcPr>
            <w:tcW w:w="263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Föderalistische Strukturen in der Europäischen Union sind zentralistischen Strukturen vorzuziehen.</w:t>
            </w:r>
          </w:p>
        </w:tc>
        <w:tc>
          <w:tcPr>
            <w:tcW w:w="1722" w:type="dxa"/>
          </w:tcPr>
          <w:p w:rsidR="008445F9" w:rsidRPr="00AA442C" w:rsidRDefault="00AA442C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32"/>
                <w:lang w:val="de-DE"/>
              </w:rPr>
              <w:t>X</w:t>
            </w:r>
          </w:p>
        </w:tc>
        <w:tc>
          <w:tcPr>
            <w:tcW w:w="1372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87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8445F9" w:rsidRPr="00072D3B" w:rsidTr="008445F9">
        <w:tc>
          <w:tcPr>
            <w:tcW w:w="263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Die europäische Integration und die Bewahrung kultureller Vielfalt stehen in keinem Widerspruch zueinander.</w:t>
            </w:r>
          </w:p>
        </w:tc>
        <w:tc>
          <w:tcPr>
            <w:tcW w:w="1722" w:type="dxa"/>
          </w:tcPr>
          <w:p w:rsidR="008445F9" w:rsidRPr="00AA442C" w:rsidRDefault="00AA442C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32"/>
                <w:lang w:val="de-DE"/>
              </w:rPr>
              <w:t>X</w:t>
            </w:r>
          </w:p>
        </w:tc>
        <w:tc>
          <w:tcPr>
            <w:tcW w:w="1372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87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8445F9" w:rsidRPr="00072D3B" w:rsidTr="008445F9">
        <w:tc>
          <w:tcPr>
            <w:tcW w:w="263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Politische Debatten auf europäischer Ebene sollen entlang inhaltlicher Grundüberzeugungen statt nationaler Herkunft geführt werden. </w:t>
            </w:r>
          </w:p>
        </w:tc>
        <w:tc>
          <w:tcPr>
            <w:tcW w:w="1722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372" w:type="dxa"/>
          </w:tcPr>
          <w:p w:rsidR="008445F9" w:rsidRPr="00AA442C" w:rsidRDefault="00AA442C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32"/>
                <w:lang w:val="de-DE"/>
              </w:rPr>
              <w:t>X</w:t>
            </w:r>
          </w:p>
        </w:tc>
        <w:tc>
          <w:tcPr>
            <w:tcW w:w="1687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52" w:type="dxa"/>
          </w:tcPr>
          <w:p w:rsidR="008445F9" w:rsidRDefault="00E7132D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Wäre vom Grundsatz her wünschenswert, solange aber Nationalstaatsprinzip besteht, stehen praktische Probleme im Weg (Stichwort „Steuerhoheit“)</w:t>
            </w:r>
          </w:p>
        </w:tc>
      </w:tr>
      <w:tr w:rsidR="008445F9" w:rsidRPr="00072D3B" w:rsidTr="008445F9">
        <w:tc>
          <w:tcPr>
            <w:tcW w:w="263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Eine gemeinsame europäische Armee soll die nationalen Armeen zunächst ergänzen und langfristig ersetzen. </w:t>
            </w:r>
          </w:p>
        </w:tc>
        <w:tc>
          <w:tcPr>
            <w:tcW w:w="1722" w:type="dxa"/>
          </w:tcPr>
          <w:p w:rsidR="008445F9" w:rsidRPr="00AA442C" w:rsidRDefault="00E7132D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32"/>
                <w:lang w:val="de-DE"/>
              </w:rPr>
              <w:t>X</w:t>
            </w:r>
          </w:p>
        </w:tc>
        <w:tc>
          <w:tcPr>
            <w:tcW w:w="1372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87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8445F9" w:rsidRPr="00072D3B" w:rsidTr="008445F9">
        <w:tc>
          <w:tcPr>
            <w:tcW w:w="263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sz w:val="22"/>
                <w:lang w:val="de-DE"/>
              </w:rPr>
              <w:lastRenderedPageBreak/>
              <w:t>Deutschland soll Teil der Europäischen Union bleiben.</w:t>
            </w:r>
          </w:p>
        </w:tc>
        <w:tc>
          <w:tcPr>
            <w:tcW w:w="1722" w:type="dxa"/>
          </w:tcPr>
          <w:p w:rsidR="008445F9" w:rsidRPr="00AA442C" w:rsidRDefault="00E7132D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32"/>
                <w:lang w:val="de-DE"/>
              </w:rPr>
              <w:t>X</w:t>
            </w:r>
          </w:p>
        </w:tc>
        <w:tc>
          <w:tcPr>
            <w:tcW w:w="1372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87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8445F9" w:rsidRPr="00072D3B" w:rsidTr="008445F9">
        <w:tc>
          <w:tcPr>
            <w:tcW w:w="263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D</w:t>
            </w: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ie Europäische Union soll Kompetenzen im Bereich Energiepolitik übertragen bekommen. </w:t>
            </w:r>
          </w:p>
        </w:tc>
        <w:tc>
          <w:tcPr>
            <w:tcW w:w="1722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372" w:type="dxa"/>
          </w:tcPr>
          <w:p w:rsidR="008445F9" w:rsidRPr="00AA442C" w:rsidRDefault="00E7132D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32"/>
                <w:lang w:val="de-DE"/>
              </w:rPr>
              <w:t>X</w:t>
            </w:r>
          </w:p>
        </w:tc>
        <w:tc>
          <w:tcPr>
            <w:tcW w:w="1687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52" w:type="dxa"/>
          </w:tcPr>
          <w:p w:rsidR="008445F9" w:rsidRDefault="00E7132D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Die Frage ist, wer die inhaltliche programmatische Hoheit über die Energiepolitik dann innehat (Stichwort „Deutsche Energiewende vs. Französische Atompolitik“)</w:t>
            </w:r>
          </w:p>
        </w:tc>
      </w:tr>
      <w:tr w:rsidR="008445F9" w:rsidRPr="00072D3B" w:rsidTr="008445F9">
        <w:tc>
          <w:tcPr>
            <w:tcW w:w="263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Ein Teil der Steuern soll statt von den Nationalstaaten direkt durch die </w:t>
            </w:r>
            <w:r>
              <w:rPr>
                <w:rFonts w:ascii="Calibri" w:eastAsia="Calibri" w:hAnsi="Calibri" w:cs="Calibri"/>
                <w:sz w:val="22"/>
                <w:lang w:val="de-DE"/>
              </w:rPr>
              <w:t>Europäische Union</w:t>
            </w: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 erhoben werden dürfen.</w:t>
            </w:r>
          </w:p>
        </w:tc>
        <w:tc>
          <w:tcPr>
            <w:tcW w:w="1722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372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87" w:type="dxa"/>
          </w:tcPr>
          <w:p w:rsidR="008445F9" w:rsidRPr="00AA442C" w:rsidRDefault="00E7132D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32"/>
                <w:lang w:val="de-DE"/>
              </w:rPr>
              <w:t>X</w:t>
            </w: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8445F9" w:rsidRPr="00072D3B" w:rsidTr="008445F9">
        <w:tc>
          <w:tcPr>
            <w:tcW w:w="263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 xml:space="preserve">Es sollen grenzübergreifende, </w:t>
            </w: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transnationale Listen bei den Europawahlen eingeführt werden. </w:t>
            </w:r>
          </w:p>
        </w:tc>
        <w:tc>
          <w:tcPr>
            <w:tcW w:w="1722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372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87" w:type="dxa"/>
          </w:tcPr>
          <w:p w:rsidR="008445F9" w:rsidRPr="00AA442C" w:rsidRDefault="00E7132D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32"/>
                <w:lang w:val="de-DE"/>
              </w:rPr>
              <w:t>X</w:t>
            </w: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8445F9" w:rsidRPr="00072D3B" w:rsidTr="008445F9">
        <w:tc>
          <w:tcPr>
            <w:tcW w:w="263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Die Europäische Union muss sich die Angleichung der Lebensverhältnisse für alle Bürger*innen innerhalb ihrer Grenzen zu einem zentralen Ziel machen. </w:t>
            </w:r>
          </w:p>
        </w:tc>
        <w:tc>
          <w:tcPr>
            <w:tcW w:w="1722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372" w:type="dxa"/>
          </w:tcPr>
          <w:p w:rsidR="008445F9" w:rsidRPr="00AA442C" w:rsidRDefault="00E7132D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32"/>
                <w:lang w:val="de-DE"/>
              </w:rPr>
              <w:t>X</w:t>
            </w:r>
          </w:p>
        </w:tc>
        <w:tc>
          <w:tcPr>
            <w:tcW w:w="1687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52" w:type="dxa"/>
          </w:tcPr>
          <w:p w:rsidR="008445F9" w:rsidRDefault="00E7132D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Dies wäre wünschenswert, ist aber angesichts der volkswirtschaftlichen Unterschiede nur schwer realisierbar.</w:t>
            </w:r>
          </w:p>
        </w:tc>
      </w:tr>
      <w:tr w:rsidR="008445F9" w:rsidRPr="00072D3B" w:rsidTr="008445F9">
        <w:tc>
          <w:tcPr>
            <w:tcW w:w="263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sz w:val="22"/>
                <w:lang w:val="de-DE"/>
              </w:rPr>
              <w:lastRenderedPageBreak/>
              <w:t>Die Europäische Union</w:t>
            </w:r>
            <w:r>
              <w:rPr>
                <w:rFonts w:ascii="Calibri" w:eastAsia="Calibri" w:hAnsi="Calibri" w:cs="Calibri"/>
                <w:sz w:val="22"/>
                <w:lang w:val="de-DE"/>
              </w:rPr>
              <w:t xml:space="preserve"> braucht </w:t>
            </w: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>eine gemeinschaftliche Asyl- und Migrationspolitik, die auf die Grundwerte</w:t>
            </w:r>
            <w:r>
              <w:rPr>
                <w:rFonts w:ascii="Calibri" w:eastAsia="Calibri" w:hAnsi="Calibri" w:cs="Calibri"/>
                <w:sz w:val="22"/>
                <w:lang w:val="de-DE"/>
              </w:rPr>
              <w:t xml:space="preserve"> der Gemeinschaft gestützt ist.</w:t>
            </w:r>
          </w:p>
        </w:tc>
        <w:tc>
          <w:tcPr>
            <w:tcW w:w="1722" w:type="dxa"/>
          </w:tcPr>
          <w:p w:rsidR="008445F9" w:rsidRPr="00AA442C" w:rsidRDefault="00E7132D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32"/>
                <w:lang w:val="de-DE"/>
              </w:rPr>
              <w:t>X</w:t>
            </w:r>
          </w:p>
        </w:tc>
        <w:tc>
          <w:tcPr>
            <w:tcW w:w="1372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87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8445F9" w:rsidRPr="00072D3B" w:rsidTr="008445F9">
        <w:tc>
          <w:tcPr>
            <w:tcW w:w="263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Mehr direktdemokratische Instrumente auf europäischer Ebene! </w:t>
            </w:r>
          </w:p>
        </w:tc>
        <w:tc>
          <w:tcPr>
            <w:tcW w:w="1722" w:type="dxa"/>
          </w:tcPr>
          <w:p w:rsidR="008445F9" w:rsidRPr="00AA442C" w:rsidRDefault="00E7132D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32"/>
                <w:lang w:val="de-DE"/>
              </w:rPr>
              <w:t>X</w:t>
            </w:r>
          </w:p>
        </w:tc>
        <w:tc>
          <w:tcPr>
            <w:tcW w:w="1372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87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8445F9" w:rsidRPr="00072D3B" w:rsidTr="008445F9">
        <w:tc>
          <w:tcPr>
            <w:tcW w:w="2632" w:type="dxa"/>
          </w:tcPr>
          <w:p w:rsidR="008445F9" w:rsidRPr="004B7CA5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Die Regierung der EU soll aus dem durch Wahlen bestimmten Parlament hervorgehen und nicht wie bisher in erster Linie von Personalentscheidungen der nationalen Regierungen abhängen. </w:t>
            </w:r>
          </w:p>
        </w:tc>
        <w:tc>
          <w:tcPr>
            <w:tcW w:w="1722" w:type="dxa"/>
          </w:tcPr>
          <w:p w:rsidR="008445F9" w:rsidRPr="00AA442C" w:rsidRDefault="00E7132D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32"/>
                <w:lang w:val="de-DE"/>
              </w:rPr>
              <w:t>X</w:t>
            </w:r>
          </w:p>
        </w:tc>
        <w:tc>
          <w:tcPr>
            <w:tcW w:w="1372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87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8445F9" w:rsidRPr="00072D3B" w:rsidTr="008445F9">
        <w:tc>
          <w:tcPr>
            <w:tcW w:w="2632" w:type="dxa"/>
          </w:tcPr>
          <w:p w:rsidR="008445F9" w:rsidRPr="004B7CA5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B77B16">
              <w:rPr>
                <w:rFonts w:ascii="Calibri" w:eastAsia="Calibri" w:hAnsi="Calibri" w:cs="Calibri"/>
                <w:sz w:val="22"/>
                <w:lang w:val="de-DE"/>
              </w:rPr>
              <w:t>Deutschland soll den Euro weiterhin als Währung nutzen</w:t>
            </w:r>
            <w:r>
              <w:rPr>
                <w:rFonts w:ascii="Calibri" w:eastAsia="Calibri" w:hAnsi="Calibri" w:cs="Calibri"/>
                <w:sz w:val="22"/>
                <w:lang w:val="de-DE"/>
              </w:rPr>
              <w:t>.</w:t>
            </w:r>
          </w:p>
        </w:tc>
        <w:tc>
          <w:tcPr>
            <w:tcW w:w="1722" w:type="dxa"/>
          </w:tcPr>
          <w:p w:rsidR="008445F9" w:rsidRPr="00AA442C" w:rsidRDefault="00E7132D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32"/>
                <w:lang w:val="de-DE"/>
              </w:rPr>
              <w:t>X</w:t>
            </w:r>
          </w:p>
        </w:tc>
        <w:tc>
          <w:tcPr>
            <w:tcW w:w="1372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87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8445F9" w:rsidRPr="00072D3B" w:rsidTr="008445F9">
        <w:tc>
          <w:tcPr>
            <w:tcW w:w="2632" w:type="dxa"/>
          </w:tcPr>
          <w:p w:rsidR="008445F9" w:rsidRPr="00B77B16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 xml:space="preserve">Wir bekennen uns zu den gemeinsamen Werten der Europäischen Union: Achtung der Menschenwürde, Freiheit, Demokratie, Gleichheit, Rechtsstaatlichkeit, Wahrung der Menschenrechte, Pluralismus, Nicht-Diskriminierung, Toleranz, Gerechtigkeit, Solidarität </w:t>
            </w:r>
            <w:r>
              <w:rPr>
                <w:rFonts w:ascii="Calibri" w:eastAsia="Calibri" w:hAnsi="Calibri" w:cs="Calibri"/>
                <w:sz w:val="22"/>
                <w:lang w:val="de-DE"/>
              </w:rPr>
              <w:lastRenderedPageBreak/>
              <w:t>und die Gleichheit von Mann und Frau.</w:t>
            </w:r>
          </w:p>
        </w:tc>
        <w:tc>
          <w:tcPr>
            <w:tcW w:w="1722" w:type="dxa"/>
          </w:tcPr>
          <w:p w:rsidR="008445F9" w:rsidRPr="00AA442C" w:rsidRDefault="00E7132D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32"/>
                <w:lang w:val="de-DE"/>
              </w:rPr>
              <w:lastRenderedPageBreak/>
              <w:t>X</w:t>
            </w:r>
          </w:p>
        </w:tc>
        <w:tc>
          <w:tcPr>
            <w:tcW w:w="1372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87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8445F9" w:rsidRPr="00072D3B" w:rsidTr="008445F9">
        <w:tc>
          <w:tcPr>
            <w:tcW w:w="263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B77B16">
              <w:rPr>
                <w:rFonts w:ascii="Calibri" w:eastAsia="Calibri" w:hAnsi="Calibri" w:cs="Calibri"/>
                <w:sz w:val="22"/>
                <w:lang w:val="de-DE"/>
              </w:rPr>
              <w:t>Das durch die EU finanzierte Studenten- und Azubiaustauschprogramm ERASMUS+ s</w:t>
            </w:r>
            <w:r>
              <w:rPr>
                <w:rFonts w:ascii="Calibri" w:eastAsia="Calibri" w:hAnsi="Calibri" w:cs="Calibri"/>
                <w:sz w:val="22"/>
                <w:lang w:val="de-DE"/>
              </w:rPr>
              <w:t>oll weiterhin bestehen bleiben.</w:t>
            </w:r>
          </w:p>
        </w:tc>
        <w:tc>
          <w:tcPr>
            <w:tcW w:w="1722" w:type="dxa"/>
          </w:tcPr>
          <w:p w:rsidR="008445F9" w:rsidRPr="00AA442C" w:rsidRDefault="00E7132D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32"/>
                <w:lang w:val="de-DE"/>
              </w:rPr>
              <w:t>X</w:t>
            </w:r>
          </w:p>
        </w:tc>
        <w:tc>
          <w:tcPr>
            <w:tcW w:w="1372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87" w:type="dxa"/>
          </w:tcPr>
          <w:p w:rsidR="008445F9" w:rsidRPr="00AA442C" w:rsidRDefault="008445F9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5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072D3B" w:rsidRPr="00072D3B" w:rsidTr="008445F9">
        <w:tc>
          <w:tcPr>
            <w:tcW w:w="2632" w:type="dxa"/>
          </w:tcPr>
          <w:p w:rsidR="00072D3B" w:rsidRPr="00B77B16" w:rsidRDefault="00072D3B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Schengen soll weiterhin bestehen.</w:t>
            </w:r>
          </w:p>
        </w:tc>
        <w:tc>
          <w:tcPr>
            <w:tcW w:w="1722" w:type="dxa"/>
          </w:tcPr>
          <w:p w:rsidR="00072D3B" w:rsidRPr="00AA442C" w:rsidRDefault="00E7132D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32"/>
                <w:lang w:val="de-DE"/>
              </w:rPr>
              <w:t>X</w:t>
            </w:r>
          </w:p>
        </w:tc>
        <w:tc>
          <w:tcPr>
            <w:tcW w:w="1372" w:type="dxa"/>
          </w:tcPr>
          <w:p w:rsidR="00072D3B" w:rsidRPr="00AA442C" w:rsidRDefault="00072D3B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87" w:type="dxa"/>
          </w:tcPr>
          <w:p w:rsidR="00072D3B" w:rsidRPr="00AA442C" w:rsidRDefault="00072D3B" w:rsidP="00AA442C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2"/>
                <w:lang w:val="de-DE"/>
              </w:rPr>
            </w:pPr>
          </w:p>
        </w:tc>
        <w:tc>
          <w:tcPr>
            <w:tcW w:w="1652" w:type="dxa"/>
          </w:tcPr>
          <w:p w:rsidR="00072D3B" w:rsidRDefault="00072D3B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</w:tr>
      <w:tr w:rsidR="008445F9" w:rsidRPr="00072D3B" w:rsidTr="00EB6FB6">
        <w:tc>
          <w:tcPr>
            <w:tcW w:w="2632" w:type="dxa"/>
          </w:tcPr>
          <w:p w:rsidR="008445F9" w:rsidRPr="00B77B16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Welcher Fraktion würden Sie beitreten, wenn Sie ins Europäische Parlament gewählt würden?</w:t>
            </w:r>
          </w:p>
        </w:tc>
        <w:tc>
          <w:tcPr>
            <w:tcW w:w="6433" w:type="dxa"/>
            <w:gridSpan w:val="4"/>
          </w:tcPr>
          <w:p w:rsidR="008445F9" w:rsidRPr="00D916E7" w:rsidRDefault="00E7132D" w:rsidP="00E7132D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de-DE"/>
              </w:rPr>
            </w:pPr>
            <w:r w:rsidRPr="00D916E7">
              <w:rPr>
                <w:rFonts w:ascii="Calibri" w:eastAsia="Calibri" w:hAnsi="Calibri" w:cs="Calibri"/>
                <w:b/>
                <w:sz w:val="28"/>
                <w:lang w:val="de-DE"/>
              </w:rPr>
              <w:t xml:space="preserve">Wir </w:t>
            </w:r>
            <w:r w:rsidR="00D916E7">
              <w:rPr>
                <w:rFonts w:ascii="Calibri" w:eastAsia="Calibri" w:hAnsi="Calibri" w:cs="Calibri"/>
                <w:b/>
                <w:sz w:val="28"/>
                <w:lang w:val="de-DE"/>
              </w:rPr>
              <w:t>sind bereits in der ALDE-Fraktion vertreten.</w:t>
            </w:r>
          </w:p>
        </w:tc>
      </w:tr>
      <w:tr w:rsidR="008445F9" w:rsidRPr="00072D3B" w:rsidTr="00DF0E20">
        <w:tc>
          <w:tcPr>
            <w:tcW w:w="263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Auf welche drei Politikfelder sollte sich die Europäische Union in Zukunft mehr konzentrieren?</w:t>
            </w:r>
          </w:p>
        </w:tc>
        <w:tc>
          <w:tcPr>
            <w:tcW w:w="6433" w:type="dxa"/>
            <w:gridSpan w:val="4"/>
          </w:tcPr>
          <w:p w:rsidR="00D916E7" w:rsidRPr="00D916E7" w:rsidRDefault="00D916E7" w:rsidP="00D916E7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8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8"/>
                <w:lang w:val="de-DE"/>
              </w:rPr>
              <w:t>Sicherung der Außengrenzen</w:t>
            </w:r>
            <w:r>
              <w:rPr>
                <w:rFonts w:ascii="Calibri" w:eastAsia="Calibri" w:hAnsi="Calibri" w:cs="Calibri"/>
                <w:b/>
                <w:sz w:val="28"/>
                <w:lang w:val="de-DE"/>
              </w:rPr>
              <w:br/>
              <w:t>Steueroasen schließen</w:t>
            </w:r>
            <w:r>
              <w:rPr>
                <w:rFonts w:ascii="Calibri" w:eastAsia="Calibri" w:hAnsi="Calibri" w:cs="Calibri"/>
                <w:b/>
                <w:sz w:val="28"/>
                <w:lang w:val="de-DE"/>
              </w:rPr>
              <w:br/>
              <w:t>Europäische Verteidigungspolitik</w:t>
            </w:r>
            <w:bookmarkStart w:id="0" w:name="_GoBack"/>
            <w:bookmarkEnd w:id="0"/>
          </w:p>
        </w:tc>
      </w:tr>
    </w:tbl>
    <w:p w:rsidR="0008662D" w:rsidRPr="00936402" w:rsidRDefault="00C93010" w:rsidP="00B77B16">
      <w:pPr>
        <w:tabs>
          <w:tab w:val="right" w:pos="9074"/>
        </w:tabs>
        <w:spacing w:after="511" w:line="259" w:lineRule="auto"/>
        <w:ind w:left="0" w:right="0" w:firstLine="0"/>
        <w:rPr>
          <w:lang w:val="de-DE"/>
        </w:rPr>
      </w:pPr>
      <w:r w:rsidRPr="00936402">
        <w:rPr>
          <w:rFonts w:ascii="Calibri" w:eastAsia="Calibri" w:hAnsi="Calibri" w:cs="Calibri"/>
          <w:sz w:val="22"/>
          <w:lang w:val="de-DE"/>
        </w:rPr>
        <w:t xml:space="preserve">Europapolitische Fragen zu den anstehenden Wahlen </w:t>
      </w:r>
      <w:r w:rsidRPr="00936402">
        <w:rPr>
          <w:rFonts w:ascii="Calibri" w:eastAsia="Calibri" w:hAnsi="Calibri" w:cs="Calibri"/>
          <w:sz w:val="22"/>
          <w:lang w:val="de-DE"/>
        </w:rPr>
        <w:tab/>
        <w:t xml:space="preserve">treffpunkteuropa.de </w:t>
      </w:r>
      <w:r w:rsidRPr="00936402">
        <w:rPr>
          <w:lang w:val="de-DE"/>
        </w:rPr>
        <w:t xml:space="preserve"> </w:t>
      </w:r>
    </w:p>
    <w:p w:rsidR="0008662D" w:rsidRPr="00936402" w:rsidRDefault="00C93010">
      <w:pPr>
        <w:spacing w:after="157" w:line="259" w:lineRule="auto"/>
        <w:ind w:left="0" w:right="0" w:firstLine="0"/>
        <w:rPr>
          <w:lang w:val="de-DE"/>
        </w:rPr>
      </w:pPr>
      <w:r w:rsidRPr="00936402">
        <w:rPr>
          <w:lang w:val="de-DE"/>
        </w:rPr>
        <w:t xml:space="preserve"> </w:t>
      </w:r>
    </w:p>
    <w:p w:rsidR="0008662D" w:rsidRPr="00936402" w:rsidRDefault="00C93010">
      <w:pPr>
        <w:spacing w:after="158" w:line="259" w:lineRule="auto"/>
        <w:ind w:left="0" w:right="0" w:firstLine="0"/>
        <w:rPr>
          <w:lang w:val="de-DE"/>
        </w:rPr>
      </w:pPr>
      <w:r w:rsidRPr="00936402">
        <w:rPr>
          <w:lang w:val="de-DE"/>
        </w:rPr>
        <w:t xml:space="preserve"> </w:t>
      </w:r>
    </w:p>
    <w:p w:rsidR="0008662D" w:rsidRPr="00936402" w:rsidRDefault="00C93010">
      <w:pPr>
        <w:spacing w:after="157" w:line="259" w:lineRule="auto"/>
        <w:ind w:left="0" w:right="0" w:firstLine="0"/>
        <w:rPr>
          <w:lang w:val="de-DE"/>
        </w:rPr>
      </w:pPr>
      <w:r w:rsidRPr="00936402">
        <w:rPr>
          <w:lang w:val="de-DE"/>
        </w:rPr>
        <w:t xml:space="preserve"> </w:t>
      </w:r>
    </w:p>
    <w:p w:rsidR="0008662D" w:rsidRPr="00936402" w:rsidRDefault="00C93010">
      <w:pPr>
        <w:spacing w:after="157" w:line="259" w:lineRule="auto"/>
        <w:ind w:left="0" w:right="0" w:firstLine="0"/>
        <w:rPr>
          <w:lang w:val="de-DE"/>
        </w:rPr>
      </w:pPr>
      <w:r w:rsidRPr="00936402">
        <w:rPr>
          <w:lang w:val="de-DE"/>
        </w:rPr>
        <w:t xml:space="preserve"> </w:t>
      </w:r>
    </w:p>
    <w:p w:rsidR="0008662D" w:rsidRPr="00936402" w:rsidRDefault="00C93010">
      <w:pPr>
        <w:spacing w:after="0" w:line="259" w:lineRule="auto"/>
        <w:ind w:left="0" w:right="0" w:firstLine="0"/>
        <w:rPr>
          <w:lang w:val="de-DE"/>
        </w:rPr>
      </w:pPr>
      <w:r w:rsidRPr="00936402">
        <w:rPr>
          <w:lang w:val="de-DE"/>
        </w:rPr>
        <w:t xml:space="preserve"> </w:t>
      </w:r>
    </w:p>
    <w:sectPr w:rsidR="0008662D" w:rsidRPr="00936402" w:rsidSect="008445F9">
      <w:headerReference w:type="default" r:id="rId7"/>
      <w:pgSz w:w="11904" w:h="16838"/>
      <w:pgMar w:top="1440" w:right="1413" w:bottom="1440" w:left="1416" w:header="23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C6" w:rsidRDefault="006720C6" w:rsidP="009D1D15">
      <w:pPr>
        <w:spacing w:after="0" w:line="240" w:lineRule="auto"/>
      </w:pPr>
      <w:r>
        <w:separator/>
      </w:r>
    </w:p>
  </w:endnote>
  <w:endnote w:type="continuationSeparator" w:id="0">
    <w:p w:rsidR="006720C6" w:rsidRDefault="006720C6" w:rsidP="009D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C6" w:rsidRDefault="006720C6" w:rsidP="009D1D15">
      <w:pPr>
        <w:spacing w:after="0" w:line="240" w:lineRule="auto"/>
      </w:pPr>
      <w:r>
        <w:separator/>
      </w:r>
    </w:p>
  </w:footnote>
  <w:footnote w:type="continuationSeparator" w:id="0">
    <w:p w:rsidR="006720C6" w:rsidRDefault="006720C6" w:rsidP="009D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15" w:rsidRDefault="008445F9">
    <w:pPr>
      <w:pStyle w:val="Kopfzeile"/>
    </w:pPr>
    <w:r w:rsidRPr="00245EA4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28228C9" wp14:editId="46638880">
          <wp:simplePos x="0" y="0"/>
          <wp:positionH relativeFrom="column">
            <wp:posOffset>114300</wp:posOffset>
          </wp:positionH>
          <wp:positionV relativeFrom="paragraph">
            <wp:posOffset>-600710</wp:posOffset>
          </wp:positionV>
          <wp:extent cx="4977232" cy="402336"/>
          <wp:effectExtent l="19050" t="0" r="0" b="0"/>
          <wp:wrapNone/>
          <wp:docPr id="3" name="Immagine 2" descr="C:\Users\Federico\Documents\01_Treffpunkt Europa\02_Facebook\titles and logo_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derico\Documents\01_Treffpunkt Europa\02_Facebook\titles and logo_hir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232" cy="402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2CE091" wp14:editId="30AFCB28">
              <wp:simplePos x="0" y="0"/>
              <wp:positionH relativeFrom="page">
                <wp:align>left</wp:align>
              </wp:positionH>
              <wp:positionV relativeFrom="paragraph">
                <wp:posOffset>-770890</wp:posOffset>
              </wp:positionV>
              <wp:extent cx="7593330" cy="680720"/>
              <wp:effectExtent l="0" t="0" r="762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680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658AEA"/>
                          </a:gs>
                          <a:gs pos="100000">
                            <a:srgbClr val="4576D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CEE5D8" id="Rectangle 1" o:spid="_x0000_s1026" style="position:absolute;margin-left:0;margin-top:-60.7pt;width:597.9pt;height:53.6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" fillcolor="#658aea" stroked="f">
              <v:fill color2="#4576df" rotate="t" focus="100%" type="gradient"/>
              <w10:wrap anchorx="page"/>
            </v:rect>
          </w:pict>
        </mc:Fallback>
      </mc:AlternateContent>
    </w:r>
  </w:p>
  <w:p w:rsidR="009D1D15" w:rsidRDefault="009D1D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97D"/>
    <w:multiLevelType w:val="hybridMultilevel"/>
    <w:tmpl w:val="D74E88AC"/>
    <w:lvl w:ilvl="0" w:tplc="97923D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5DAA">
      <w:start w:val="1"/>
      <w:numFmt w:val="bullet"/>
      <w:lvlText w:val="o"/>
      <w:lvlJc w:val="left"/>
      <w:pPr>
        <w:ind w:left="10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AA8CC">
      <w:start w:val="1"/>
      <w:numFmt w:val="bullet"/>
      <w:lvlText w:val="▪"/>
      <w:lvlJc w:val="left"/>
      <w:pPr>
        <w:ind w:left="1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029C4">
      <w:start w:val="1"/>
      <w:numFmt w:val="bullet"/>
      <w:lvlText w:val="•"/>
      <w:lvlJc w:val="left"/>
      <w:pPr>
        <w:ind w:left="2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B850">
      <w:start w:val="1"/>
      <w:numFmt w:val="bullet"/>
      <w:lvlText w:val="o"/>
      <w:lvlJc w:val="left"/>
      <w:pPr>
        <w:ind w:left="3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4AED2">
      <w:start w:val="1"/>
      <w:numFmt w:val="bullet"/>
      <w:lvlText w:val="▪"/>
      <w:lvlJc w:val="left"/>
      <w:pPr>
        <w:ind w:left="3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26348">
      <w:start w:val="1"/>
      <w:numFmt w:val="bullet"/>
      <w:lvlText w:val="•"/>
      <w:lvlJc w:val="left"/>
      <w:pPr>
        <w:ind w:left="4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066AC">
      <w:start w:val="1"/>
      <w:numFmt w:val="bullet"/>
      <w:lvlText w:val="o"/>
      <w:lvlJc w:val="left"/>
      <w:pPr>
        <w:ind w:left="5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6B042">
      <w:start w:val="1"/>
      <w:numFmt w:val="bullet"/>
      <w:lvlText w:val="▪"/>
      <w:lvlJc w:val="left"/>
      <w:pPr>
        <w:ind w:left="61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2D"/>
    <w:rsid w:val="00072D3B"/>
    <w:rsid w:val="0008662D"/>
    <w:rsid w:val="00342CCB"/>
    <w:rsid w:val="004B7CA5"/>
    <w:rsid w:val="006720C6"/>
    <w:rsid w:val="008445F9"/>
    <w:rsid w:val="00936402"/>
    <w:rsid w:val="009D1D15"/>
    <w:rsid w:val="00AA442C"/>
    <w:rsid w:val="00B77B16"/>
    <w:rsid w:val="00C93010"/>
    <w:rsid w:val="00D916E7"/>
    <w:rsid w:val="00E024AB"/>
    <w:rsid w:val="00E7132D"/>
    <w:rsid w:val="00E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634D4"/>
  <w15:docId w15:val="{5168BE60-9455-46BB-A04C-96DD5538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51" w:line="263" w:lineRule="auto"/>
      <w:ind w:left="370" w:right="2585" w:hanging="370"/>
    </w:pPr>
    <w:rPr>
      <w:rFonts w:ascii="Garamond" w:eastAsia="Garamond" w:hAnsi="Garamond" w:cs="Garamond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1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1D15"/>
    <w:rPr>
      <w:rFonts w:ascii="Garamond" w:eastAsia="Garamond" w:hAnsi="Garamond" w:cs="Garamond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D1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1D15"/>
    <w:rPr>
      <w:rFonts w:ascii="Garamond" w:eastAsia="Garamond" w:hAnsi="Garamond" w:cs="Garamond"/>
      <w:color w:val="000000"/>
      <w:sz w:val="24"/>
    </w:rPr>
  </w:style>
  <w:style w:type="paragraph" w:styleId="KeinLeerraum">
    <w:name w:val="No Spacing"/>
    <w:uiPriority w:val="1"/>
    <w:qFormat/>
    <w:rsid w:val="008445F9"/>
    <w:pPr>
      <w:spacing w:after="0" w:line="240" w:lineRule="auto"/>
      <w:ind w:left="370" w:right="2585" w:hanging="370"/>
    </w:pPr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Hochhaus</dc:creator>
  <cp:keywords/>
  <cp:lastModifiedBy>Manfred</cp:lastModifiedBy>
  <cp:revision>7</cp:revision>
  <dcterms:created xsi:type="dcterms:W3CDTF">2017-02-06T11:35:00Z</dcterms:created>
  <dcterms:modified xsi:type="dcterms:W3CDTF">2017-02-17T14:58:00Z</dcterms:modified>
</cp:coreProperties>
</file>